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E26B" w14:textId="01F85124" w:rsidR="00A2091E" w:rsidRPr="00C71A0C" w:rsidRDefault="00C71A0C" w:rsidP="00C71A0C">
      <w:pPr>
        <w:jc w:val="center"/>
        <w:rPr>
          <w:sz w:val="28"/>
          <w:szCs w:val="28"/>
          <w:lang w:val="lv-LV"/>
        </w:rPr>
      </w:pPr>
      <w:r w:rsidRPr="00C71A0C">
        <w:rPr>
          <w:sz w:val="28"/>
          <w:szCs w:val="28"/>
          <w:lang w:val="lv-LV"/>
        </w:rPr>
        <w:t>PROJEKTA PAŠNOVĒRTĒJUMS</w:t>
      </w:r>
    </w:p>
    <w:p w14:paraId="6EFDEAC6" w14:textId="77777777" w:rsidR="00C71A0C" w:rsidRDefault="00C71A0C" w:rsidP="00C71A0C">
      <w:pPr>
        <w:jc w:val="center"/>
        <w:rPr>
          <w:lang w:val="lv-LV"/>
        </w:rPr>
      </w:pPr>
    </w:p>
    <w:p w14:paraId="0052FEDD" w14:textId="77777777" w:rsidR="00C71A0C" w:rsidRDefault="00C71A0C" w:rsidP="00C71A0C">
      <w:pPr>
        <w:jc w:val="center"/>
        <w:rPr>
          <w:lang w:val="lv-LV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8"/>
        <w:gridCol w:w="6528"/>
        <w:gridCol w:w="1478"/>
        <w:gridCol w:w="2266"/>
        <w:gridCol w:w="2837"/>
      </w:tblGrid>
      <w:tr w:rsidR="00C71A0C" w:rsidRPr="00E76ADE" w14:paraId="7D427581" w14:textId="77777777" w:rsidTr="00A00901">
        <w:tc>
          <w:tcPr>
            <w:tcW w:w="14034" w:type="dxa"/>
            <w:gridSpan w:val="6"/>
            <w:shd w:val="clear" w:color="auto" w:fill="FAE2D5" w:themeFill="accent2" w:themeFillTint="33"/>
            <w:vAlign w:val="center"/>
          </w:tcPr>
          <w:p w14:paraId="52EA300E" w14:textId="5C503AE7" w:rsidR="00C71A0C" w:rsidRPr="00C71A0C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t>M2 ‘’</w:t>
            </w:r>
            <w:proofErr w:type="spellStart"/>
            <w:r w:rsidRPr="007471CD">
              <w:t>Vietu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attīstības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iniciatīvas</w:t>
            </w:r>
            <w:proofErr w:type="spellEnd"/>
            <w:r w:rsidRPr="007471CD">
              <w:t xml:space="preserve"> un </w:t>
            </w:r>
            <w:proofErr w:type="spellStart"/>
            <w:r w:rsidRPr="007471CD">
              <w:t>vietējo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iedzīvotāju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sabiedrisko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aktivitāšu</w:t>
            </w:r>
            <w:proofErr w:type="spellEnd"/>
            <w:r w:rsidRPr="007471CD">
              <w:t xml:space="preserve"> un </w:t>
            </w:r>
            <w:proofErr w:type="spellStart"/>
            <w:r w:rsidRPr="007471CD">
              <w:t>brīvā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laika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pavadīšanas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iespēju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dažādošana</w:t>
            </w:r>
            <w:proofErr w:type="spellEnd"/>
            <w:r>
              <w:t>’’</w:t>
            </w:r>
            <w:r w:rsidRPr="00987FAB">
              <w:t>.</w:t>
            </w:r>
          </w:p>
        </w:tc>
      </w:tr>
      <w:tr w:rsidR="00C71A0C" w:rsidRPr="00E76ADE" w14:paraId="11402712" w14:textId="77777777" w:rsidTr="00C71A0C">
        <w:tc>
          <w:tcPr>
            <w:tcW w:w="14034" w:type="dxa"/>
            <w:gridSpan w:val="6"/>
            <w:shd w:val="clear" w:color="auto" w:fill="FAE2D5" w:themeFill="accent2" w:themeFillTint="33"/>
            <w:vAlign w:val="center"/>
          </w:tcPr>
          <w:p w14:paraId="74EF092E" w14:textId="0CF087AA" w:rsidR="00C71A0C" w:rsidRPr="00410D90" w:rsidRDefault="00C71A0C" w:rsidP="00C71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</w:pPr>
            <w:r w:rsidRPr="0070024B">
              <w:rPr>
                <w:rFonts w:cs="Times New Roman"/>
                <w:i/>
                <w:iCs/>
                <w:kern w:val="0"/>
                <w14:ligatures w14:val="none"/>
              </w:rPr>
              <w:t>2.</w:t>
            </w:r>
            <w:r>
              <w:rPr>
                <w:rFonts w:cs="Times New Roman"/>
                <w:i/>
                <w:iCs/>
                <w:kern w:val="0"/>
                <w14:ligatures w14:val="none"/>
              </w:rPr>
              <w:t>2</w:t>
            </w:r>
            <w:r w:rsidRPr="0070024B">
              <w:rPr>
                <w:rFonts w:cs="Times New Roman"/>
                <w:i/>
                <w:iCs/>
                <w:kern w:val="0"/>
                <w14:ligatures w14:val="none"/>
              </w:rPr>
              <w:t xml:space="preserve">. </w:t>
            </w:r>
            <w:proofErr w:type="spellStart"/>
            <w:r w:rsidRPr="0070024B">
              <w:rPr>
                <w:rFonts w:cs="Times New Roman"/>
                <w:i/>
                <w:iCs/>
                <w:kern w:val="0"/>
                <w14:ligatures w14:val="none"/>
              </w:rPr>
              <w:t>Rīcība</w:t>
            </w:r>
            <w:proofErr w:type="spellEnd"/>
            <w:r w:rsidRPr="0070024B">
              <w:rPr>
                <w:rFonts w:cs="Times New Roman"/>
                <w:i/>
                <w:iCs/>
                <w:kern w:val="0"/>
                <w14:ligatures w14:val="none"/>
              </w:rPr>
              <w:t xml:space="preserve"> </w:t>
            </w:r>
            <w:r>
              <w:rPr>
                <w:kern w:val="0"/>
                <w14:ligatures w14:val="none"/>
              </w:rPr>
              <w:t>“</w:t>
            </w:r>
            <w:proofErr w:type="spellStart"/>
            <w:r>
              <w:rPr>
                <w:kern w:val="0"/>
                <w14:ligatures w14:val="none"/>
              </w:rPr>
              <w:t>Jauniešu</w:t>
            </w:r>
            <w:proofErr w:type="spellEnd"/>
            <w:r>
              <w:rPr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14:ligatures w14:val="none"/>
              </w:rPr>
              <w:t>iniciatīva</w:t>
            </w:r>
            <w:proofErr w:type="spellEnd"/>
            <w:r>
              <w:rPr>
                <w:kern w:val="0"/>
                <w14:ligatures w14:val="none"/>
              </w:rPr>
              <w:t>”</w:t>
            </w:r>
          </w:p>
        </w:tc>
      </w:tr>
      <w:tr w:rsidR="00C71A0C" w:rsidRPr="00E76ADE" w14:paraId="4A98132E" w14:textId="4986D10C" w:rsidTr="00C71A0C">
        <w:tc>
          <w:tcPr>
            <w:tcW w:w="925" w:type="dxa"/>
            <w:gridSpan w:val="2"/>
            <w:shd w:val="clear" w:color="auto" w:fill="FAE2D5" w:themeFill="accent2" w:themeFillTint="33"/>
            <w:vAlign w:val="center"/>
          </w:tcPr>
          <w:p w14:paraId="4407CDC8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Nr.</w:t>
            </w:r>
          </w:p>
        </w:tc>
        <w:tc>
          <w:tcPr>
            <w:tcW w:w="6528" w:type="dxa"/>
            <w:shd w:val="clear" w:color="auto" w:fill="FAE2D5" w:themeFill="accent2" w:themeFillTint="33"/>
            <w:vAlign w:val="center"/>
          </w:tcPr>
          <w:p w14:paraId="7A6E49C5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Atlases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kritērijs</w:t>
            </w:r>
            <w:proofErr w:type="spellEnd"/>
          </w:p>
        </w:tc>
        <w:tc>
          <w:tcPr>
            <w:tcW w:w="1478" w:type="dxa"/>
            <w:shd w:val="clear" w:color="auto" w:fill="FAE2D5" w:themeFill="accent2" w:themeFillTint="33"/>
            <w:vAlign w:val="center"/>
          </w:tcPr>
          <w:p w14:paraId="7410FBC8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Vērtējums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/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Punkti</w:t>
            </w:r>
            <w:proofErr w:type="spellEnd"/>
          </w:p>
        </w:tc>
        <w:tc>
          <w:tcPr>
            <w:tcW w:w="2266" w:type="dxa"/>
            <w:shd w:val="clear" w:color="auto" w:fill="FAE2D5" w:themeFill="accent2" w:themeFillTint="33"/>
          </w:tcPr>
          <w:p w14:paraId="7187AE60" w14:textId="0E7D1542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Pašnovērtējuma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pretendenta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piešķirtie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punkti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ab/>
            </w:r>
          </w:p>
        </w:tc>
        <w:tc>
          <w:tcPr>
            <w:tcW w:w="2837" w:type="dxa"/>
            <w:shd w:val="clear" w:color="auto" w:fill="FAE2D5" w:themeFill="accent2" w:themeFillTint="33"/>
          </w:tcPr>
          <w:p w14:paraId="540E9931" w14:textId="6FA52BC9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Pamatojums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proofErr w:type="gram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(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sadaļa</w:t>
            </w:r>
            <w:proofErr w:type="spellEnd"/>
            <w:proofErr w:type="gram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,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kurā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aprakstīts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)</w:t>
            </w:r>
          </w:p>
        </w:tc>
      </w:tr>
      <w:tr w:rsidR="00C71A0C" w:rsidRPr="00E76ADE" w14:paraId="61F5FAA7" w14:textId="4F17D2DA" w:rsidTr="00C71A0C">
        <w:tc>
          <w:tcPr>
            <w:tcW w:w="8931" w:type="dxa"/>
            <w:gridSpan w:val="4"/>
            <w:shd w:val="clear" w:color="auto" w:fill="D9E2F3"/>
            <w:vAlign w:val="center"/>
          </w:tcPr>
          <w:p w14:paraId="4724985D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proofErr w:type="spellStart"/>
            <w:r w:rsidRPr="00E76ADE">
              <w:rPr>
                <w:b/>
                <w:bCs/>
                <w:kern w:val="0"/>
                <w:sz w:val="28"/>
                <w:szCs w:val="28"/>
                <w14:ligatures w14:val="none"/>
              </w:rPr>
              <w:t>Atbilstības</w:t>
            </w:r>
            <w:proofErr w:type="spellEnd"/>
            <w:r w:rsidRPr="00E76ADE">
              <w:rPr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bCs/>
                <w:kern w:val="0"/>
                <w:sz w:val="28"/>
                <w:szCs w:val="28"/>
                <w14:ligatures w14:val="none"/>
              </w:rPr>
              <w:t>vērtēšanas</w:t>
            </w:r>
            <w:proofErr w:type="spellEnd"/>
            <w:r w:rsidRPr="00E76ADE">
              <w:rPr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bCs/>
                <w:kern w:val="0"/>
                <w:sz w:val="28"/>
                <w:szCs w:val="28"/>
                <w14:ligatures w14:val="none"/>
              </w:rPr>
              <w:t>kritēriji</w:t>
            </w:r>
            <w:proofErr w:type="spellEnd"/>
          </w:p>
        </w:tc>
        <w:tc>
          <w:tcPr>
            <w:tcW w:w="2266" w:type="dxa"/>
            <w:shd w:val="clear" w:color="auto" w:fill="D9E2F3"/>
          </w:tcPr>
          <w:p w14:paraId="2185162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7" w:type="dxa"/>
            <w:shd w:val="clear" w:color="auto" w:fill="D9E2F3"/>
          </w:tcPr>
          <w:p w14:paraId="6000DE2B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C71A0C" w:rsidRPr="00E76ADE" w14:paraId="3064C502" w14:textId="1C5803D2" w:rsidTr="00C71A0C">
        <w:trPr>
          <w:trHeight w:val="345"/>
        </w:trPr>
        <w:tc>
          <w:tcPr>
            <w:tcW w:w="867" w:type="dxa"/>
          </w:tcPr>
          <w:p w14:paraId="349DD4D3" w14:textId="77777777" w:rsidR="00C71A0C" w:rsidRPr="00007D41" w:rsidRDefault="00C71A0C" w:rsidP="00C71A0C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  <w:tc>
          <w:tcPr>
            <w:tcW w:w="6586" w:type="dxa"/>
            <w:gridSpan w:val="2"/>
          </w:tcPr>
          <w:p w14:paraId="25FA7BAB" w14:textId="77777777" w:rsidR="00C71A0C" w:rsidRPr="00785E0B" w:rsidRDefault="00C71A0C" w:rsidP="00C71A0C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lang w:eastAsia="zh-CN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iesniedzējs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atbilst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Zemkopības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ministrijas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Jauniešu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iniciatīva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color w:val="000000"/>
                <w:sz w:val="22"/>
                <w:szCs w:val="22"/>
              </w:rPr>
              <w:t>metodikas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nosacījumiem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biedrības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Jūrkante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color w:val="000000"/>
                <w:sz w:val="22"/>
                <w:szCs w:val="22"/>
              </w:rPr>
              <w:t>sludinājumā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iesniedzējam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izvirzītajām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prasībām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(MKN Nr.580 7.p.)</w:t>
            </w:r>
          </w:p>
        </w:tc>
        <w:tc>
          <w:tcPr>
            <w:tcW w:w="1478" w:type="dxa"/>
          </w:tcPr>
          <w:p w14:paraId="156720DF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  <w:proofErr w:type="spellStart"/>
            <w:r>
              <w:rPr>
                <w:rFonts w:eastAsia="Calibri" w:cs="Times New Roman"/>
                <w:lang w:eastAsia="zh-CN"/>
              </w:rPr>
              <w:t>Jā</w:t>
            </w:r>
            <w:proofErr w:type="spellEnd"/>
            <w:r>
              <w:rPr>
                <w:rFonts w:eastAsia="Calibri" w:cs="Times New Roman"/>
                <w:lang w:eastAsia="zh-CN"/>
              </w:rPr>
              <w:t>/</w:t>
            </w:r>
            <w:proofErr w:type="spellStart"/>
            <w:r>
              <w:rPr>
                <w:rFonts w:eastAsia="Calibri" w:cs="Times New Roman"/>
                <w:lang w:eastAsia="zh-CN"/>
              </w:rPr>
              <w:t>Nē</w:t>
            </w:r>
            <w:proofErr w:type="spellEnd"/>
          </w:p>
        </w:tc>
        <w:tc>
          <w:tcPr>
            <w:tcW w:w="2266" w:type="dxa"/>
          </w:tcPr>
          <w:p w14:paraId="06C59754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  <w:tc>
          <w:tcPr>
            <w:tcW w:w="2837" w:type="dxa"/>
          </w:tcPr>
          <w:p w14:paraId="77974DDA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</w:tr>
      <w:tr w:rsidR="00C71A0C" w:rsidRPr="00E76ADE" w14:paraId="32014EDA" w14:textId="029297BD" w:rsidTr="00C71A0C">
        <w:trPr>
          <w:trHeight w:val="345"/>
        </w:trPr>
        <w:tc>
          <w:tcPr>
            <w:tcW w:w="867" w:type="dxa"/>
          </w:tcPr>
          <w:p w14:paraId="24E6A7D5" w14:textId="77777777" w:rsidR="00C71A0C" w:rsidRPr="009D3A04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  <w:tc>
          <w:tcPr>
            <w:tcW w:w="6586" w:type="dxa"/>
            <w:gridSpan w:val="2"/>
          </w:tcPr>
          <w:p w14:paraId="3FC16282" w14:textId="77777777" w:rsidR="00C71A0C" w:rsidRDefault="00C71A0C" w:rsidP="00C71A0C">
            <w:pPr>
              <w:suppressAutoHyphens/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Projekts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atbilst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SVVA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Stratēģijas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M2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mērķim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sasniedz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mērķi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, kas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atbilst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MKN Nr.580 4.2.p.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minētajam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mērķim</w:t>
            </w:r>
            <w:proofErr w:type="spellEnd"/>
          </w:p>
        </w:tc>
        <w:tc>
          <w:tcPr>
            <w:tcW w:w="1478" w:type="dxa"/>
          </w:tcPr>
          <w:p w14:paraId="78ECDDAE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  <w:proofErr w:type="spellStart"/>
            <w:r>
              <w:rPr>
                <w:rFonts w:eastAsia="Calibri" w:cs="Times New Roman"/>
                <w:lang w:eastAsia="zh-CN"/>
              </w:rPr>
              <w:t>Jā</w:t>
            </w:r>
            <w:proofErr w:type="spellEnd"/>
            <w:r>
              <w:rPr>
                <w:rFonts w:eastAsia="Calibri" w:cs="Times New Roman"/>
                <w:lang w:eastAsia="zh-CN"/>
              </w:rPr>
              <w:t>/</w:t>
            </w:r>
            <w:proofErr w:type="spellStart"/>
            <w:r>
              <w:rPr>
                <w:rFonts w:eastAsia="Calibri" w:cs="Times New Roman"/>
                <w:lang w:eastAsia="zh-CN"/>
              </w:rPr>
              <w:t>Nē</w:t>
            </w:r>
            <w:proofErr w:type="spellEnd"/>
          </w:p>
        </w:tc>
        <w:tc>
          <w:tcPr>
            <w:tcW w:w="2266" w:type="dxa"/>
          </w:tcPr>
          <w:p w14:paraId="0D054AE6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  <w:tc>
          <w:tcPr>
            <w:tcW w:w="2837" w:type="dxa"/>
          </w:tcPr>
          <w:p w14:paraId="4CD3E4BB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</w:tr>
      <w:tr w:rsidR="00C71A0C" w:rsidRPr="00E76ADE" w14:paraId="27733FA2" w14:textId="77FAC72E" w:rsidTr="00C71A0C">
        <w:trPr>
          <w:trHeight w:val="750"/>
        </w:trPr>
        <w:tc>
          <w:tcPr>
            <w:tcW w:w="8931" w:type="dxa"/>
            <w:gridSpan w:val="4"/>
          </w:tcPr>
          <w:p w14:paraId="773AD7BC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  <w:r w:rsidRPr="00E76ADE">
              <w:rPr>
                <w:b/>
                <w:i/>
                <w:kern w:val="0"/>
                <w:u w:val="single"/>
                <w14:ligatures w14:val="none"/>
              </w:rPr>
              <w:t xml:space="preserve">Ja </w:t>
            </w:r>
            <w:proofErr w:type="spellStart"/>
            <w:r w:rsidRPr="00E76ADE">
              <w:rPr>
                <w:b/>
                <w:i/>
                <w:kern w:val="0"/>
                <w:u w:val="single"/>
                <w14:ligatures w14:val="none"/>
              </w:rPr>
              <w:t>projektu</w:t>
            </w:r>
            <w:proofErr w:type="spellEnd"/>
            <w:r w:rsidRPr="00E76ADE">
              <w:rPr>
                <w:b/>
                <w:i/>
                <w:kern w:val="0"/>
                <w:u w:val="single"/>
                <w14:ligatures w14:val="none"/>
              </w:rPr>
              <w:t xml:space="preserve"> </w:t>
            </w:r>
            <w:proofErr w:type="spellStart"/>
            <w:proofErr w:type="gramStart"/>
            <w:r w:rsidRPr="00E76ADE">
              <w:rPr>
                <w:b/>
                <w:i/>
                <w:kern w:val="0"/>
                <w:u w:val="single"/>
                <w14:ligatures w14:val="none"/>
              </w:rPr>
              <w:t>vērtēšan</w:t>
            </w:r>
            <w:r>
              <w:rPr>
                <w:b/>
                <w:i/>
                <w:kern w:val="0"/>
                <w:u w:val="single"/>
                <w14:ligatures w14:val="none"/>
              </w:rPr>
              <w:t>ā</w:t>
            </w:r>
            <w:proofErr w:type="spellEnd"/>
            <w:r w:rsidRPr="00E76ADE">
              <w:rPr>
                <w:b/>
                <w:i/>
                <w:kern w:val="0"/>
                <w14:ligatures w14:val="none"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ir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saņemts</w:t>
            </w:r>
            <w:proofErr w:type="spellEnd"/>
            <w:r>
              <w:t xml:space="preserve"> </w:t>
            </w:r>
            <w:proofErr w:type="spellStart"/>
            <w:r>
              <w:t>vērtējums</w:t>
            </w:r>
            <w:proofErr w:type="spellEnd"/>
            <w:r>
              <w:t xml:space="preserve"> </w:t>
            </w:r>
            <w:r w:rsidRPr="00E3427B">
              <w:rPr>
                <w:b/>
                <w:bCs/>
              </w:rPr>
              <w:t>“</w:t>
            </w:r>
            <w:proofErr w:type="spellStart"/>
            <w:r w:rsidRPr="00E3427B">
              <w:rPr>
                <w:b/>
                <w:bCs/>
              </w:rPr>
              <w:t>Nē</w:t>
            </w:r>
            <w:proofErr w:type="spellEnd"/>
            <w:r w:rsidRPr="00E3427B">
              <w:rPr>
                <w:b/>
                <w:bCs/>
              </w:rPr>
              <w:t>”,</w:t>
            </w:r>
            <w:r>
              <w:t xml:space="preserve"> tad </w:t>
            </w:r>
            <w:proofErr w:type="spellStart"/>
            <w:r>
              <w:t>iesniegtais</w:t>
            </w:r>
            <w:proofErr w:type="spellEnd"/>
            <w:r>
              <w:t xml:space="preserve"> </w:t>
            </w:r>
            <w:proofErr w:type="spellStart"/>
            <w:r>
              <w:t>projekts</w:t>
            </w:r>
            <w:proofErr w:type="spellEnd"/>
            <w:r>
              <w:t xml:space="preserve"> </w:t>
            </w:r>
            <w:proofErr w:type="spellStart"/>
            <w:r>
              <w:t>netiek</w:t>
            </w:r>
            <w:proofErr w:type="spellEnd"/>
            <w:r>
              <w:t xml:space="preserve"> </w:t>
            </w:r>
            <w:proofErr w:type="spellStart"/>
            <w:r>
              <w:t>tālāk</w:t>
            </w:r>
            <w:proofErr w:type="spellEnd"/>
            <w:r>
              <w:t xml:space="preserve"> </w:t>
            </w:r>
            <w:proofErr w:type="spellStart"/>
            <w:r>
              <w:t>vērtēts</w:t>
            </w:r>
            <w:proofErr w:type="spellEnd"/>
            <w:r>
              <w:t xml:space="preserve"> un </w:t>
            </w:r>
            <w:proofErr w:type="spellStart"/>
            <w:r>
              <w:t>tiek</w:t>
            </w:r>
            <w:proofErr w:type="spellEnd"/>
            <w:r>
              <w:t xml:space="preserve"> </w:t>
            </w:r>
            <w:proofErr w:type="spellStart"/>
            <w:r>
              <w:t>noraidīts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SVVA </w:t>
            </w:r>
            <w:proofErr w:type="spellStart"/>
            <w:r>
              <w:t>stratēģijai</w:t>
            </w:r>
            <w:proofErr w:type="spellEnd"/>
            <w:r>
              <w:t xml:space="preserve"> </w:t>
            </w:r>
            <w:proofErr w:type="spellStart"/>
            <w:r>
              <w:t>neatbilstošs</w:t>
            </w:r>
            <w:proofErr w:type="spellEnd"/>
            <w:r>
              <w:t xml:space="preserve"> </w:t>
            </w:r>
            <w:proofErr w:type="spellStart"/>
            <w:r>
              <w:t>projekts</w:t>
            </w:r>
            <w:proofErr w:type="spellEnd"/>
          </w:p>
        </w:tc>
        <w:tc>
          <w:tcPr>
            <w:tcW w:w="2266" w:type="dxa"/>
          </w:tcPr>
          <w:p w14:paraId="549AA3B6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b/>
                <w:i/>
                <w:kern w:val="0"/>
                <w:u w:val="single"/>
                <w14:ligatures w14:val="none"/>
              </w:rPr>
            </w:pPr>
          </w:p>
        </w:tc>
        <w:tc>
          <w:tcPr>
            <w:tcW w:w="2837" w:type="dxa"/>
          </w:tcPr>
          <w:p w14:paraId="6AB81A1B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b/>
                <w:i/>
                <w:kern w:val="0"/>
                <w:u w:val="single"/>
                <w14:ligatures w14:val="none"/>
              </w:rPr>
            </w:pPr>
          </w:p>
        </w:tc>
      </w:tr>
      <w:tr w:rsidR="00C71A0C" w:rsidRPr="00E76ADE" w14:paraId="08C58199" w14:textId="33CE7B51" w:rsidTr="00C71A0C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B5CF8E8" w14:textId="77777777" w:rsidR="00C71A0C" w:rsidRPr="00E76ADE" w:rsidRDefault="00C71A0C" w:rsidP="00C71A0C">
            <w:pPr>
              <w:suppressAutoHyphens/>
              <w:spacing w:after="0" w:line="256" w:lineRule="auto"/>
              <w:jc w:val="center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E76ADE">
              <w:rPr>
                <w:b/>
                <w:bCs/>
                <w:kern w:val="0"/>
                <w:lang w:eastAsia="lv-LV"/>
                <w14:ligatures w14:val="none"/>
              </w:rPr>
              <w:t>KVALITATĪVIE VĒRTĒŠANAS KRITĒRIJI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5056550" w14:textId="77777777" w:rsidR="00C71A0C" w:rsidRPr="00E76ADE" w:rsidRDefault="00C71A0C" w:rsidP="00C71A0C">
            <w:pPr>
              <w:suppressAutoHyphens/>
              <w:spacing w:after="0" w:line="256" w:lineRule="auto"/>
              <w:jc w:val="center"/>
              <w:rPr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35D8F6C" w14:textId="77777777" w:rsidR="00C71A0C" w:rsidRPr="00E76ADE" w:rsidRDefault="00C71A0C" w:rsidP="00C71A0C">
            <w:pPr>
              <w:suppressAutoHyphens/>
              <w:spacing w:after="0" w:line="256" w:lineRule="auto"/>
              <w:jc w:val="center"/>
              <w:rPr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C71A0C" w:rsidRPr="00E76ADE" w14:paraId="6AF6B957" w14:textId="0753D02B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1C098F98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2.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35D678DC" w14:textId="77777777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E76ADE">
              <w:rPr>
                <w:rFonts w:cs="Times New Roman"/>
                <w:kern w:val="0"/>
                <w14:ligatures w14:val="none"/>
              </w:rPr>
              <w:t>Projekta</w:t>
            </w:r>
            <w:proofErr w:type="spellEnd"/>
            <w:r w:rsidRPr="00E76ADE">
              <w:rPr>
                <w:rFonts w:cs="Times New Roman"/>
                <w:kern w:val="0"/>
                <w14:ligatures w14:val="none"/>
              </w:rPr>
              <w:t xml:space="preserve"> </w:t>
            </w:r>
            <w:proofErr w:type="spellStart"/>
            <w:r w:rsidRPr="00E76ADE">
              <w:rPr>
                <w:rFonts w:cs="Times New Roman"/>
                <w:kern w:val="0"/>
                <w14:ligatures w14:val="none"/>
              </w:rPr>
              <w:t>sagatavotība</w:t>
            </w:r>
            <w:proofErr w:type="spellEnd"/>
            <w:r w:rsidRPr="00E76ADE">
              <w:rPr>
                <w:rFonts w:cs="Times New Roman"/>
                <w:kern w:val="0"/>
                <w14:ligatures w14:val="none"/>
              </w:rPr>
              <w:t xml:space="preserve">, </w:t>
            </w:r>
            <w:proofErr w:type="spellStart"/>
            <w:r w:rsidRPr="00E76ADE">
              <w:rPr>
                <w:rFonts w:cs="Times New Roman"/>
                <w:kern w:val="0"/>
                <w14:ligatures w14:val="none"/>
              </w:rPr>
              <w:t>pamatojums</w:t>
            </w:r>
            <w:proofErr w:type="spellEnd"/>
            <w:r w:rsidRPr="00E76ADE">
              <w:rPr>
                <w:rFonts w:cs="Times New Roman"/>
                <w:kern w:val="0"/>
                <w14:ligatures w14:val="none"/>
              </w:rPr>
              <w:t>.</w:t>
            </w:r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Projekta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iesniegumam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pievienoti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un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atbilstoši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noformēti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nepieciešamie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dokumenti</w:t>
            </w:r>
            <w:proofErr w:type="spellEnd"/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7FE7641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6992AB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3565C25C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14514017" w14:textId="1BDE1ADE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16311E71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756994D0" w14:textId="4CD25123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cs="Times New Roman"/>
                <w:kern w:val="0"/>
                <w14:ligatures w14:val="none"/>
              </w:rPr>
            </w:pPr>
            <w:r w:rsidRPr="00E76ADE">
              <w:rPr>
                <w:rFonts w:cs="Times New Roman"/>
                <w:kern w:val="0"/>
                <w14:ligatures w14:val="none"/>
              </w:rPr>
              <w:t>-</w:t>
            </w:r>
            <w:r w:rsidRPr="00E76ADE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iesniegumam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pievienoti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visi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nepieciešamie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pavaddokumenti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, kas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noteikti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MKN Nr.580. 49.p., 54.p. </w:t>
            </w:r>
            <w:proofErr w:type="gram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un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55</w:t>
            </w:r>
            <w:proofErr w:type="gram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.p., SVVAS un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kārtas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sludinājumā</w:t>
            </w:r>
            <w:proofErr w:type="spellEnd"/>
          </w:p>
        </w:tc>
        <w:tc>
          <w:tcPr>
            <w:tcW w:w="1478" w:type="dxa"/>
            <w:vAlign w:val="center"/>
          </w:tcPr>
          <w:p w14:paraId="6E7EDF8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7418CFAE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32B9692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E0B25B3" w14:textId="0E03C0FB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0C147F4F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0964C215" w14:textId="77777777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cs="Times New Roman"/>
                <w:kern w:val="0"/>
                <w14:ligatures w14:val="none"/>
              </w:rPr>
            </w:pPr>
            <w:r w:rsidRPr="00E76ADE">
              <w:rPr>
                <w:rFonts w:cs="Times New Roman"/>
                <w:kern w:val="0"/>
                <w14:ligatures w14:val="none"/>
              </w:rPr>
              <w:t>-</w:t>
            </w: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Nav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>iesniegti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>visi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>dokumenti</w:t>
            </w:r>
            <w:proofErr w:type="spellEnd"/>
          </w:p>
        </w:tc>
        <w:tc>
          <w:tcPr>
            <w:tcW w:w="1478" w:type="dxa"/>
            <w:vAlign w:val="center"/>
          </w:tcPr>
          <w:p w14:paraId="797664E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2D2C30BE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410F1F6C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A3B9A83" w14:textId="7C353B96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1CB22E0E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3.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7A9D8362" w14:textId="77777777" w:rsidR="00C71A0C" w:rsidRPr="00444921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mērķis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7C63E91" w14:textId="77777777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cs="Times New Roman"/>
                <w:kern w:val="0"/>
                <w14:ligatures w14:val="none"/>
              </w:rPr>
            </w:pPr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5B5AECC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7DE99EB8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213BE30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E3EC418" w14:textId="11814F00" w:rsidTr="00C71A0C">
        <w:tc>
          <w:tcPr>
            <w:tcW w:w="925" w:type="dxa"/>
            <w:gridSpan w:val="2"/>
          </w:tcPr>
          <w:p w14:paraId="6BA38135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7AA0C47D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mērķis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konkrēts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izmērāms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reāli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sasniedzams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plānotā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budžeta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laika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cilvēkresursu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ziņā</w:t>
            </w:r>
            <w:proofErr w:type="spellEnd"/>
          </w:p>
        </w:tc>
        <w:tc>
          <w:tcPr>
            <w:tcW w:w="1478" w:type="dxa"/>
            <w:vAlign w:val="center"/>
          </w:tcPr>
          <w:p w14:paraId="049EE188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35A2DF4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8C0631B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1B4CA4F" w14:textId="77A6CDCF" w:rsidTr="00C71A0C">
        <w:tc>
          <w:tcPr>
            <w:tcW w:w="925" w:type="dxa"/>
            <w:gridSpan w:val="2"/>
          </w:tcPr>
          <w:p w14:paraId="28F5B492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751D156F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mērķis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aprakstīts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, bet nav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izmērāms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Nekonkrētas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norādes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par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laika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cilvēkresursiem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mērķa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sasniegšanai</w:t>
            </w:r>
            <w:proofErr w:type="spellEnd"/>
          </w:p>
        </w:tc>
        <w:tc>
          <w:tcPr>
            <w:tcW w:w="1478" w:type="dxa"/>
            <w:vAlign w:val="center"/>
          </w:tcPr>
          <w:p w14:paraId="77CC3FB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164A6FAB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5532779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90302D9" w14:textId="0C2272DD" w:rsidTr="00C71A0C">
        <w:tc>
          <w:tcPr>
            <w:tcW w:w="925" w:type="dxa"/>
            <w:gridSpan w:val="2"/>
          </w:tcPr>
          <w:p w14:paraId="3FC22485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15FFEAD8" w14:textId="77777777" w:rsidR="00C71A0C" w:rsidRPr="00E601CD" w:rsidRDefault="00C71A0C" w:rsidP="00C71A0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mērķis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nekonkrēts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vispārīgs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nav </w:t>
            </w:r>
            <w:proofErr w:type="spellStart"/>
            <w:r>
              <w:rPr>
                <w:color w:val="000000"/>
                <w:sz w:val="22"/>
                <w:szCs w:val="22"/>
              </w:rPr>
              <w:t>sasniedzams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īstenošanas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laikā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286C">
              <w:rPr>
                <w:b/>
                <w:bCs/>
                <w:color w:val="000000"/>
                <w:sz w:val="22"/>
                <w:szCs w:val="22"/>
              </w:rPr>
              <w:t>projekts</w:t>
            </w:r>
            <w:proofErr w:type="spellEnd"/>
            <w:r w:rsidRPr="00C428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286C">
              <w:rPr>
                <w:b/>
                <w:bCs/>
                <w:color w:val="000000"/>
                <w:sz w:val="22"/>
                <w:szCs w:val="22"/>
              </w:rPr>
              <w:t>tiek</w:t>
            </w:r>
            <w:proofErr w:type="spellEnd"/>
            <w:r w:rsidRPr="00C428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286C">
              <w:rPr>
                <w:b/>
                <w:bCs/>
                <w:color w:val="000000"/>
                <w:sz w:val="22"/>
                <w:szCs w:val="22"/>
              </w:rPr>
              <w:t>noraidīts</w:t>
            </w:r>
            <w:proofErr w:type="spellEnd"/>
          </w:p>
        </w:tc>
        <w:tc>
          <w:tcPr>
            <w:tcW w:w="1478" w:type="dxa"/>
            <w:vAlign w:val="center"/>
          </w:tcPr>
          <w:p w14:paraId="15E122DC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6F559B4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09D32B2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10E3B95C" w14:textId="49AEA929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03913021" w14:textId="77777777" w:rsidR="00C71A0C" w:rsidRPr="00E76ADE" w:rsidRDefault="00C71A0C" w:rsidP="00C71A0C">
            <w:pPr>
              <w:suppressAutoHyphens/>
              <w:spacing w:before="60" w:after="6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4.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73F007AD" w14:textId="77777777" w:rsidR="00C71A0C" w:rsidRPr="00444921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mērķa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grupa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un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tās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ieguvumi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no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A635FB2" w14:textId="77777777" w:rsidR="00C71A0C" w:rsidRPr="00E76ADE" w:rsidRDefault="00C71A0C" w:rsidP="00C71A0C">
            <w:pPr>
              <w:suppressAutoHyphens/>
              <w:spacing w:before="60" w:after="60" w:line="240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315B269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23490C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4C9C633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B49E521" w14:textId="2696D5E0" w:rsidTr="00C71A0C">
        <w:tc>
          <w:tcPr>
            <w:tcW w:w="925" w:type="dxa"/>
            <w:gridSpan w:val="2"/>
          </w:tcPr>
          <w:p w14:paraId="0B4ABDBD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4D5DC1CB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Norādīta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mērķa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grupa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tās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lielums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tiešais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labuma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guvēju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skaits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ieguvumu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apraksts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14:paraId="20E0633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7234E0A4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0397C241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0A3791F" w14:textId="7003DCDA" w:rsidTr="00C71A0C">
        <w:tc>
          <w:tcPr>
            <w:tcW w:w="925" w:type="dxa"/>
            <w:gridSpan w:val="2"/>
          </w:tcPr>
          <w:p w14:paraId="3CE801C6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2B98DA27" w14:textId="77777777" w:rsidR="00C71A0C" w:rsidRPr="00444921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color w:val="000000"/>
                <w:sz w:val="22"/>
                <w:szCs w:val="22"/>
              </w:rPr>
            </w:pP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Mērķa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grupas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apraksts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vispārīgs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nav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identificēti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tiešā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labuma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guvēji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nav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ieguvum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apraksts</w:t>
            </w:r>
            <w:proofErr w:type="spellEnd"/>
          </w:p>
        </w:tc>
        <w:tc>
          <w:tcPr>
            <w:tcW w:w="1478" w:type="dxa"/>
            <w:vAlign w:val="center"/>
          </w:tcPr>
          <w:p w14:paraId="21F5E01D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605BF344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5F3C7B99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637349C" w14:textId="2E5E85B5" w:rsidTr="00C71A0C">
        <w:tc>
          <w:tcPr>
            <w:tcW w:w="925" w:type="dxa"/>
            <w:gridSpan w:val="2"/>
            <w:shd w:val="clear" w:color="auto" w:fill="D9D9D9" w:themeFill="background1" w:themeFillShade="D9"/>
          </w:tcPr>
          <w:p w14:paraId="4A6A8A21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5.</w:t>
            </w:r>
          </w:p>
        </w:tc>
        <w:tc>
          <w:tcPr>
            <w:tcW w:w="6528" w:type="dxa"/>
            <w:shd w:val="clear" w:color="auto" w:fill="D9D9D9" w:themeFill="background1" w:themeFillShade="D9"/>
          </w:tcPr>
          <w:p w14:paraId="7441F52B" w14:textId="77777777" w:rsidR="00C71A0C" w:rsidRPr="009D3A04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rojekta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fiksētās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summas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aprēķina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pamatojums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- 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aprakstītas</w:t>
            </w:r>
            <w:proofErr w:type="spellEnd"/>
            <w:proofErr w:type="gram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un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skaitļos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izteiktas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projektā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plānotās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iegādes</w:t>
            </w:r>
            <w:proofErr w:type="spellEnd"/>
          </w:p>
          <w:p w14:paraId="21676304" w14:textId="77777777" w:rsidR="00C71A0C" w:rsidRPr="00E76ADE" w:rsidRDefault="00C71A0C" w:rsidP="00C71A0C">
            <w:pPr>
              <w:suppressAutoHyphens/>
              <w:spacing w:after="0" w:line="240" w:lineRule="auto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164E559D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390A6B5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D9D9D9" w:themeFill="background1" w:themeFillShade="D9"/>
          </w:tcPr>
          <w:p w14:paraId="7B3C448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5BD4E42" w14:textId="521DA55D" w:rsidTr="00C71A0C">
        <w:tc>
          <w:tcPr>
            <w:tcW w:w="925" w:type="dxa"/>
            <w:gridSpan w:val="2"/>
          </w:tcPr>
          <w:p w14:paraId="1EEA36F1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1A4A6F1B" w14:textId="77777777" w:rsidR="00C71A0C" w:rsidRPr="00E76ADE" w:rsidRDefault="00C71A0C" w:rsidP="00C71A0C">
            <w:pPr>
              <w:suppressAutoHyphens/>
              <w:spacing w:after="0" w:line="240" w:lineRule="auto"/>
              <w:ind w:left="197" w:hanging="197"/>
              <w:contextualSpacing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1102">
              <w:rPr>
                <w:rFonts w:eastAsia="Calibri" w:cs="Times New Roman"/>
                <w:color w:val="000000"/>
                <w:sz w:val="22"/>
                <w:szCs w:val="22"/>
              </w:rPr>
              <w:t xml:space="preserve">- 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budžets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detāli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izstrādāts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tas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paskaidro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iekļautās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izmaksas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pasniedzēja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darba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laika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izmaksas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materiālu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citas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izmaksas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Specifikācijas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apraksts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pamato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atbilstību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starp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rezultātu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iegādēm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izmaksu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lielumu</w:t>
            </w:r>
            <w:proofErr w:type="spellEnd"/>
          </w:p>
        </w:tc>
        <w:tc>
          <w:tcPr>
            <w:tcW w:w="1478" w:type="dxa"/>
            <w:vAlign w:val="center"/>
          </w:tcPr>
          <w:p w14:paraId="3495111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1414E9C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565DD52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5055015" w14:textId="68C6F003" w:rsidTr="00C71A0C">
        <w:tc>
          <w:tcPr>
            <w:tcW w:w="925" w:type="dxa"/>
            <w:gridSpan w:val="2"/>
          </w:tcPr>
          <w:p w14:paraId="5A702EF0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1CC59BC9" w14:textId="77777777" w:rsidR="00C71A0C" w:rsidRPr="00E76ADE" w:rsidRDefault="00C71A0C" w:rsidP="00C71A0C">
            <w:pPr>
              <w:suppressAutoHyphens/>
              <w:spacing w:after="0" w:line="240" w:lineRule="auto"/>
              <w:ind w:left="197" w:hanging="197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-</w:t>
            </w:r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budžets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atbilstošs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pasākumam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, bet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konstatētas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kādas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nepilnības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nesakritības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starp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projektā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norādīto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informāciju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informācija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vispārīga</w:t>
            </w:r>
            <w:proofErr w:type="spellEnd"/>
          </w:p>
        </w:tc>
        <w:tc>
          <w:tcPr>
            <w:tcW w:w="1478" w:type="dxa"/>
            <w:vAlign w:val="center"/>
          </w:tcPr>
          <w:p w14:paraId="63F6256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4B5C05D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32F2A1CB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F303C9B" w14:textId="2135C882" w:rsidTr="00C71A0C">
        <w:tc>
          <w:tcPr>
            <w:tcW w:w="925" w:type="dxa"/>
            <w:gridSpan w:val="2"/>
          </w:tcPr>
          <w:p w14:paraId="67DE1EE7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4F5465B3" w14:textId="77777777" w:rsidR="00C71A0C" w:rsidRPr="00F91102" w:rsidRDefault="00C71A0C" w:rsidP="00C71A0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97" w:right="27" w:hanging="197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plānotās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izmaksas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nav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pamatotas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un/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vai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orientētas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uz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plānotā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mērķa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un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sasniedzamo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rezultātu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sasniegšanu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vai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pakalpojuma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cena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par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vienu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nodarbību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un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citas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izmaksas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ir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nesamērīgi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lielas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salīdzinājumā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ar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līdzīgiem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pakalpojumiem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F9110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projekts</w:t>
            </w:r>
            <w:proofErr w:type="spellEnd"/>
            <w:r w:rsidRPr="00F9110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tiek</w:t>
            </w:r>
            <w:proofErr w:type="spellEnd"/>
            <w:r w:rsidRPr="00F9110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noraidīts</w:t>
            </w:r>
            <w:proofErr w:type="spellEnd"/>
          </w:p>
        </w:tc>
        <w:tc>
          <w:tcPr>
            <w:tcW w:w="1478" w:type="dxa"/>
            <w:vAlign w:val="center"/>
          </w:tcPr>
          <w:p w14:paraId="73CE5F7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304CDA9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759DBF3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2E92D89" w14:textId="3D57C003" w:rsidTr="00C71A0C">
        <w:trPr>
          <w:trHeight w:val="558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0891D5F6" w14:textId="77777777" w:rsidR="00C71A0C" w:rsidRPr="00E76ADE" w:rsidRDefault="00C71A0C" w:rsidP="00C71A0C">
            <w:pPr>
              <w:suppressAutoHyphens/>
              <w:spacing w:before="60" w:after="6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6.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5DC9F510" w14:textId="77777777" w:rsidR="00C71A0C" w:rsidRPr="009D3A04" w:rsidRDefault="00C71A0C" w:rsidP="00C71A0C">
            <w:pPr>
              <w:spacing w:after="0" w:line="240" w:lineRule="auto"/>
              <w:ind w:right="27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Plānotās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aktivitātes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ir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skaidri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definētas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un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atspoguļota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projekta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īstenošanas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gaita</w:t>
            </w:r>
          </w:p>
          <w:p w14:paraId="27CB5795" w14:textId="77777777" w:rsidR="00C71A0C" w:rsidRPr="00E76ADE" w:rsidRDefault="00C71A0C" w:rsidP="00C71A0C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3EEBB0C4" w14:textId="77777777" w:rsidR="00C71A0C" w:rsidRPr="00E76ADE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7C0F940" w14:textId="77777777" w:rsidR="00C71A0C" w:rsidRPr="00E76ADE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6A6DF88C" w14:textId="77777777" w:rsidR="00C71A0C" w:rsidRPr="00E76ADE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9546B78" w14:textId="17E4FB50" w:rsidTr="00C71A0C">
        <w:tc>
          <w:tcPr>
            <w:tcW w:w="925" w:type="dxa"/>
            <w:gridSpan w:val="2"/>
          </w:tcPr>
          <w:p w14:paraId="7684D4E8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60E8B719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Norādīts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aktivitāšu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norises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grafiki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nodarbību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plāni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Nosauktas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konkrētas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nodarbību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tēmas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sniegta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informācija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par </w:t>
            </w:r>
            <w:proofErr w:type="spellStart"/>
            <w:r>
              <w:rPr>
                <w:color w:val="000000"/>
                <w:sz w:val="22"/>
                <w:szCs w:val="22"/>
              </w:rPr>
              <w:t>nodarbību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norises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apjomu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ilgumu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paskaidrots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mēnešus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nedēļas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stundas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nodarbības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cik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aktivitātes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notiks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14:paraId="5AC52CCC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lastRenderedPageBreak/>
              <w:t>2</w:t>
            </w:r>
          </w:p>
        </w:tc>
        <w:tc>
          <w:tcPr>
            <w:tcW w:w="2266" w:type="dxa"/>
          </w:tcPr>
          <w:p w14:paraId="14A4CA9E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4689E77B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B777B6D" w14:textId="33823519" w:rsidTr="00C71A0C">
        <w:tc>
          <w:tcPr>
            <w:tcW w:w="925" w:type="dxa"/>
            <w:gridSpan w:val="2"/>
          </w:tcPr>
          <w:p w14:paraId="16ABC0E0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56130287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Nav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sniegta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informācija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par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aktivitāšu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norises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grafikiem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tēmām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ilgumiem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sniegtā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informācija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vispārīga</w:t>
            </w:r>
            <w:proofErr w:type="spellEnd"/>
          </w:p>
        </w:tc>
        <w:tc>
          <w:tcPr>
            <w:tcW w:w="1478" w:type="dxa"/>
            <w:vAlign w:val="center"/>
          </w:tcPr>
          <w:p w14:paraId="3254D4E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75741727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53BCAA3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543C52A" w14:textId="01D99ECB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31C6ED93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7.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3794E650" w14:textId="77777777" w:rsidR="00C71A0C" w:rsidRPr="00DF4ADC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īstenošanas</w:t>
            </w:r>
            <w:proofErr w:type="spellEnd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un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ieviešanas</w:t>
            </w:r>
            <w:proofErr w:type="spellEnd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riski</w:t>
            </w:r>
            <w:proofErr w:type="spellEnd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</w:p>
          <w:p w14:paraId="66545098" w14:textId="77777777" w:rsidR="00C71A0C" w:rsidRPr="00DF4ADC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Projekta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īstenošanas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risku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izvērtējums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, tai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skaitā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novērtēts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iespējamais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izmaksu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pieaugums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un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riski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uzraudzības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periodā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4BA4C6A3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DF4ADC">
              <w:rPr>
                <w:rFonts w:eastAsia="Times New Roman" w:cs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0B6538E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058D589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14AD817A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6E7AF32" w14:textId="5F4CF3D9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53EFA34A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highlight w:val="lightGray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2B582F37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iesniegumā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iespējamie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riski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izvērtēti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kvalitatīvi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izstrādāts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pamatots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pasākumu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plāns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identificēto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risku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novēršanai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samazināšanai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tostarp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novērtēts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izmaksu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sadārdzinājums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paredzētas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pamatotas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darbības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identificēto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riska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faktoru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novēršanai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samazināšanai</w:t>
            </w:r>
            <w:proofErr w:type="spellEnd"/>
          </w:p>
        </w:tc>
        <w:tc>
          <w:tcPr>
            <w:tcW w:w="1478" w:type="dxa"/>
            <w:vAlign w:val="center"/>
          </w:tcPr>
          <w:p w14:paraId="711828F2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013D5137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633A419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2E3998F6" w14:textId="262B2BE0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4138DE91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3DBF2C81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iesniegumā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iespējamie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izvērtēti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kvalitatīvi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pasākumu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plāns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identificēto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novēršanai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samazināšanai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izstrādāts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nepilnīgi</w:t>
            </w:r>
            <w:proofErr w:type="spellEnd"/>
          </w:p>
        </w:tc>
        <w:tc>
          <w:tcPr>
            <w:tcW w:w="1478" w:type="dxa"/>
            <w:vAlign w:val="center"/>
          </w:tcPr>
          <w:p w14:paraId="6A1B23C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highlight w:val="lightGray"/>
                <w:lang w:eastAsia="zh-CN"/>
                <w14:ligatures w14:val="none"/>
              </w:rPr>
            </w:pPr>
            <w:r w:rsidRPr="00747A57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1,5</w:t>
            </w:r>
          </w:p>
        </w:tc>
        <w:tc>
          <w:tcPr>
            <w:tcW w:w="2266" w:type="dxa"/>
          </w:tcPr>
          <w:p w14:paraId="3C31EC01" w14:textId="77777777" w:rsidR="00C71A0C" w:rsidRPr="00747A57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613EED37" w14:textId="77777777" w:rsidR="00C71A0C" w:rsidRPr="00747A57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176A241" w14:textId="461F43B4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72ADEA42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1500DE77" w14:textId="77777777" w:rsidR="00C71A0C" w:rsidRPr="00DF4ADC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jc w:val="both"/>
              <w:rPr>
                <w:rFonts w:eastAsia="Calibri" w:cs="Times New Roman"/>
                <w:color w:val="000000"/>
                <w:sz w:val="22"/>
                <w:szCs w:val="22"/>
              </w:rPr>
            </w:pP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iesniegumā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iespējamie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izvērtēti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nepilnīgi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pasākumu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plāns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identificēto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novēršanai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nav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izstrādāts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izstrādāts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nepilnīgi</w:t>
            </w:r>
            <w:proofErr w:type="spellEnd"/>
          </w:p>
        </w:tc>
        <w:tc>
          <w:tcPr>
            <w:tcW w:w="1478" w:type="dxa"/>
            <w:vAlign w:val="center"/>
          </w:tcPr>
          <w:p w14:paraId="5D6331B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0C8897B5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3875195F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2C7B92D5" w14:textId="7F5B2833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7F3B659C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24B6153F" w14:textId="77777777" w:rsidR="00C71A0C" w:rsidRPr="00DF4ADC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jc w:val="both"/>
              <w:rPr>
                <w:rFonts w:eastAsia="Calibri" w:cs="Times New Roman"/>
                <w:color w:val="000000"/>
                <w:sz w:val="22"/>
                <w:szCs w:val="22"/>
              </w:rPr>
            </w:pP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iesniegumā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nav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izvērtēti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iespējamie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un/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nav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pasākumu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plāns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mazināšanai</w:t>
            </w:r>
            <w:proofErr w:type="spellEnd"/>
          </w:p>
        </w:tc>
        <w:tc>
          <w:tcPr>
            <w:tcW w:w="1478" w:type="dxa"/>
            <w:vAlign w:val="center"/>
          </w:tcPr>
          <w:p w14:paraId="7859EA39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391A64CC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672232CC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22BF2E7B" w14:textId="2603A922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1BBCAE41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8.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3075A1EC" w14:textId="77777777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Projekta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rezultātā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uzlabojas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iespēja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sociālās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atstumtības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riska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grupām</w:t>
            </w:r>
            <w:proofErr w:type="spellEnd"/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footnoteReference w:id="1"/>
            </w: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iekļauties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proofErr w:type="gram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sabiedrībā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Projekta</w:t>
            </w:r>
            <w:proofErr w:type="spellEnd"/>
            <w:proofErr w:type="gram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pieteikumā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paredzēti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pasākumi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sociālās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atstumtības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riska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grupām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vertAlign w:val="superscript"/>
                <w:lang w:eastAsia="zh-CN"/>
                <w14:ligatures w14:val="none"/>
              </w:rPr>
              <w:footnoteReference w:id="2"/>
            </w:r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2BD197F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7C7B192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757C3BD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56E3ED5" w14:textId="3A1093AD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1B66D910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53A1ED03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</w:t>
            </w: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rojekta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paredzētie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pasākumi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un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rezultāt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i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būs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iespējams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izmantot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sociālās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atstumtības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riska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grupām</w:t>
            </w:r>
            <w:proofErr w:type="spellEnd"/>
          </w:p>
        </w:tc>
        <w:tc>
          <w:tcPr>
            <w:tcW w:w="1478" w:type="dxa"/>
            <w:vAlign w:val="center"/>
          </w:tcPr>
          <w:p w14:paraId="060E80C2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097FB62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8FE355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6E9714E2" w14:textId="3B50BD6B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216D5F9A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7BF951E9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</w:t>
            </w: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rojektā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paredzētie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pasākumi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un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rezultāts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nav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paredzēts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iedzīvotājiem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no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sociālās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atstumtības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riska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grupām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14:paraId="26C855FA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394D7A7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37F8CE9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EDF4ECB" w14:textId="6F4D94B8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350923BA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9</w:t>
            </w: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3AAC79B3" w14:textId="77777777" w:rsidR="00C71A0C" w:rsidRPr="00A82F5C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darbības</w:t>
            </w:r>
            <w:proofErr w:type="spellEnd"/>
            <w:proofErr w:type="gram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joma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(SVVAS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noteiktās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proofErr w:type="gram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prioritārās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u.c.</w:t>
            </w:r>
            <w:proofErr w:type="spellEnd"/>
            <w:proofErr w:type="gram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jomas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).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Vērtējums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kritērijā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nesummējas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–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tiek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ņemta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vērā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prioritārā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viena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)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darbības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joma</w:t>
            </w:r>
            <w:proofErr w:type="spellEnd"/>
          </w:p>
          <w:p w14:paraId="05C5ADC9" w14:textId="77777777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0BA89EC3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1877A46A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0E4F3B0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1DD8F8F" w14:textId="1098297A" w:rsidTr="00C71A0C">
        <w:tc>
          <w:tcPr>
            <w:tcW w:w="925" w:type="dxa"/>
            <w:gridSpan w:val="2"/>
          </w:tcPr>
          <w:p w14:paraId="37DEA52D" w14:textId="77777777" w:rsidR="00C71A0C" w:rsidRPr="00E76ADE" w:rsidRDefault="00C71A0C" w:rsidP="00C71A0C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73738A9C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Uzņēmējdarbības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prasmju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attīstība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pilnveidošana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aktivitātes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vērsts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jauniešu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bērnu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prasmju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apguvi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praktiskām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nodarbībām</w:t>
            </w:r>
            <w:proofErr w:type="spellEnd"/>
          </w:p>
        </w:tc>
        <w:tc>
          <w:tcPr>
            <w:tcW w:w="1478" w:type="dxa"/>
            <w:vAlign w:val="center"/>
          </w:tcPr>
          <w:p w14:paraId="329965A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1C3751D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387BEE0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00B0681D" w14:textId="05688CE5" w:rsidTr="00C71A0C">
        <w:trPr>
          <w:trHeight w:val="265"/>
        </w:trPr>
        <w:tc>
          <w:tcPr>
            <w:tcW w:w="925" w:type="dxa"/>
            <w:gridSpan w:val="2"/>
          </w:tcPr>
          <w:p w14:paraId="6BD93D42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081004CA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A82F5C">
              <w:rPr>
                <w:rFonts w:eastAsia="Calibri" w:cs="Times New Roman"/>
                <w:color w:val="000000"/>
                <w:sz w:val="22"/>
                <w:szCs w:val="22"/>
              </w:rPr>
              <w:t>Dzīves</w:t>
            </w:r>
            <w:proofErr w:type="spellEnd"/>
            <w:r w:rsidRPr="00A82F5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F5C">
              <w:rPr>
                <w:rFonts w:eastAsia="Calibri" w:cs="Times New Roman"/>
                <w:color w:val="000000"/>
                <w:sz w:val="22"/>
                <w:szCs w:val="22"/>
              </w:rPr>
              <w:t>pamatprasmju</w:t>
            </w:r>
            <w:proofErr w:type="spellEnd"/>
            <w:r w:rsidRPr="00A82F5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F5C">
              <w:rPr>
                <w:rFonts w:eastAsia="Calibri" w:cs="Times New Roman"/>
                <w:color w:val="000000"/>
                <w:sz w:val="22"/>
                <w:szCs w:val="22"/>
              </w:rPr>
              <w:t>pilnveidošana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praktiskām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nodarbībām</w:t>
            </w:r>
            <w:proofErr w:type="spellEnd"/>
          </w:p>
        </w:tc>
        <w:tc>
          <w:tcPr>
            <w:tcW w:w="1478" w:type="dxa"/>
            <w:vAlign w:val="center"/>
          </w:tcPr>
          <w:p w14:paraId="69947DF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4347ACC9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16F1DFB2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20B1F87" w14:textId="581F7379" w:rsidTr="00C71A0C">
        <w:tc>
          <w:tcPr>
            <w:tcW w:w="925" w:type="dxa"/>
            <w:gridSpan w:val="2"/>
          </w:tcPr>
          <w:p w14:paraId="0A96C0AF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546AAA21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Aktivitātes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vērstas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uz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jauniešu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bērnu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prasmju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apguvi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bez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praktiskām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nodarbībām</w:t>
            </w:r>
            <w:proofErr w:type="spellEnd"/>
          </w:p>
        </w:tc>
        <w:tc>
          <w:tcPr>
            <w:tcW w:w="1478" w:type="dxa"/>
            <w:vAlign w:val="center"/>
          </w:tcPr>
          <w:p w14:paraId="1B0D8DF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6BD06E1C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499DD18F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5582C34" w14:textId="467D244E" w:rsidTr="00C71A0C">
        <w:tc>
          <w:tcPr>
            <w:tcW w:w="925" w:type="dxa"/>
            <w:gridSpan w:val="2"/>
          </w:tcPr>
          <w:p w14:paraId="2FC57B19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46104E11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Aktivitātes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vērstas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uz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jauniešu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bērnu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interešu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attīstīšanu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saturīga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brīvā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laika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pavadīšanu</w:t>
            </w:r>
            <w:proofErr w:type="spellEnd"/>
          </w:p>
        </w:tc>
        <w:tc>
          <w:tcPr>
            <w:tcW w:w="1478" w:type="dxa"/>
            <w:vAlign w:val="center"/>
          </w:tcPr>
          <w:p w14:paraId="7A8FAFCC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0,5</w:t>
            </w:r>
          </w:p>
        </w:tc>
        <w:tc>
          <w:tcPr>
            <w:tcW w:w="2266" w:type="dxa"/>
          </w:tcPr>
          <w:p w14:paraId="144A232A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49E69782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66A7307" w14:textId="2E4F2188" w:rsidTr="00C71A0C">
        <w:tc>
          <w:tcPr>
            <w:tcW w:w="925" w:type="dxa"/>
            <w:gridSpan w:val="2"/>
          </w:tcPr>
          <w:p w14:paraId="52A4B3E9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10</w:t>
            </w:r>
            <w:r w:rsidRPr="00E76ADE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</w:p>
        </w:tc>
        <w:tc>
          <w:tcPr>
            <w:tcW w:w="6528" w:type="dxa"/>
          </w:tcPr>
          <w:p w14:paraId="1396D693" w14:textId="77777777" w:rsidR="00C71A0C" w:rsidRPr="00A43399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aktivitāšu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kopums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paredzēto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aktivitāšu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skaits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kur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vienas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aktivitātes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dienas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norises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ilgums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nav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mazāks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par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stundām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  <w:p w14:paraId="1CB29295" w14:textId="77777777" w:rsidR="00C71A0C" w:rsidRPr="00E76ADE" w:rsidRDefault="00C71A0C" w:rsidP="00C71A0C">
            <w:pPr>
              <w:spacing w:after="0" w:line="240" w:lineRule="auto"/>
              <w:jc w:val="both"/>
              <w:rPr>
                <w:iCs/>
                <w:kern w:val="0"/>
                <w:lang w:eastAsia="lv-LV"/>
                <w14:ligatures w14:val="none"/>
              </w:rPr>
            </w:pPr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vAlign w:val="center"/>
          </w:tcPr>
          <w:p w14:paraId="09AE150E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</w:tcPr>
          <w:p w14:paraId="0ADB12F2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CC626F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6B7364F5" w14:textId="48D0986F" w:rsidTr="00C71A0C">
        <w:tc>
          <w:tcPr>
            <w:tcW w:w="925" w:type="dxa"/>
            <w:gridSpan w:val="2"/>
          </w:tcPr>
          <w:p w14:paraId="6CCBD58B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62CC1507" w14:textId="1F099236" w:rsidR="00C71A0C" w:rsidRPr="00E76ADE" w:rsidRDefault="00C71A0C" w:rsidP="00C71A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i/>
                <w:kern w:val="0"/>
                <w:szCs w:val="22"/>
                <w:lang w:eastAsia="lv-LV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Plānotas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un </w:t>
            </w:r>
            <w:proofErr w:type="spellStart"/>
            <w:r>
              <w:rPr>
                <w:color w:val="000000"/>
                <w:sz w:val="22"/>
                <w:szCs w:val="22"/>
              </w:rPr>
              <w:t>vairāk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aktivitātes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dienas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78" w:type="dxa"/>
            <w:vAlign w:val="center"/>
          </w:tcPr>
          <w:p w14:paraId="4A4F9E29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70DAAAF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0574AC99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EBA202E" w14:textId="680E2DFD" w:rsidTr="00C71A0C">
        <w:tc>
          <w:tcPr>
            <w:tcW w:w="925" w:type="dxa"/>
            <w:gridSpan w:val="2"/>
          </w:tcPr>
          <w:p w14:paraId="44F4F195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03E4AE3C" w14:textId="4D3AF037" w:rsidR="00C71A0C" w:rsidRPr="00E76ADE" w:rsidRDefault="00C71A0C" w:rsidP="00C71A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i/>
                <w:kern w:val="0"/>
                <w:szCs w:val="22"/>
                <w:lang w:eastAsia="lv-LV"/>
                <w14:ligatures w14:val="none"/>
              </w:rPr>
            </w:pPr>
            <w:proofErr w:type="spellStart"/>
            <w:r w:rsidRPr="00715676">
              <w:rPr>
                <w:rFonts w:eastAsia="Calibri" w:cs="Times New Roman"/>
                <w:color w:val="000000"/>
                <w:sz w:val="22"/>
                <w:szCs w:val="22"/>
              </w:rPr>
              <w:t>Plānotas</w:t>
            </w:r>
            <w:proofErr w:type="spellEnd"/>
            <w:r w:rsidRPr="00715676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4 un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mazāk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a</w:t>
            </w:r>
            <w:r w:rsidRPr="00715676">
              <w:rPr>
                <w:rFonts w:eastAsia="Calibri" w:cs="Times New Roman"/>
                <w:color w:val="000000"/>
                <w:sz w:val="22"/>
                <w:szCs w:val="22"/>
              </w:rPr>
              <w:t>ktivitātes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dienas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78" w:type="dxa"/>
            <w:vAlign w:val="center"/>
          </w:tcPr>
          <w:p w14:paraId="76FCE3B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77EBE2A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03073CE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6F6F8068" w14:textId="47B7EBF1" w:rsidTr="00C71A0C">
        <w:tc>
          <w:tcPr>
            <w:tcW w:w="925" w:type="dxa"/>
            <w:gridSpan w:val="2"/>
          </w:tcPr>
          <w:p w14:paraId="2571600D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097E9650" w14:textId="77777777" w:rsidR="00C71A0C" w:rsidRPr="00E76ADE" w:rsidRDefault="00C71A0C" w:rsidP="00C71A0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b/>
                <w:i/>
                <w:kern w:val="0"/>
                <w:sz w:val="22"/>
                <w:szCs w:val="22"/>
                <w:lang w:eastAsia="lv-LV"/>
                <w14:ligatures w14:val="none"/>
              </w:rPr>
            </w:pPr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nav </w:t>
            </w:r>
            <w:proofErr w:type="spellStart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>skaidri</w:t>
            </w:r>
            <w:proofErr w:type="spellEnd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>noformēts</w:t>
            </w:r>
            <w:proofErr w:type="spellEnd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un </w:t>
            </w:r>
            <w:proofErr w:type="spellStart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>aprakstīts</w:t>
            </w:r>
            <w:proofErr w:type="spellEnd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>aktivitāšu</w:t>
            </w:r>
            <w:proofErr w:type="spellEnd"/>
            <w:r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>skaits</w:t>
            </w:r>
            <w:proofErr w:type="spellEnd"/>
            <w:r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E76ADE">
              <w:rPr>
                <w:b/>
                <w:i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14:paraId="5859286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5FA19879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75E352B8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0F6A5E54" w14:textId="2CE94957" w:rsidTr="00C71A0C">
        <w:trPr>
          <w:trHeight w:val="366"/>
        </w:trPr>
        <w:tc>
          <w:tcPr>
            <w:tcW w:w="925" w:type="dxa"/>
            <w:gridSpan w:val="2"/>
          </w:tcPr>
          <w:p w14:paraId="239E0E31" w14:textId="77777777" w:rsidR="00C71A0C" w:rsidRPr="00E76ADE" w:rsidRDefault="00C71A0C" w:rsidP="00C71A0C">
            <w:pPr>
              <w:suppressAutoHyphens/>
              <w:spacing w:before="60" w:after="6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019343BF" w14:textId="77777777" w:rsidR="00C71A0C" w:rsidRPr="00715676" w:rsidRDefault="00C71A0C" w:rsidP="00C71A0C">
            <w:pPr>
              <w:suppressAutoHyphens/>
              <w:spacing w:before="60" w:after="60" w:line="240" w:lineRule="auto"/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>Minimālais</w:t>
            </w:r>
            <w:proofErr w:type="spellEnd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>iegūstamo</w:t>
            </w:r>
            <w:proofErr w:type="spellEnd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>punktu</w:t>
            </w:r>
            <w:proofErr w:type="spellEnd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>skaits</w:t>
            </w:r>
            <w:proofErr w:type="spellEnd"/>
          </w:p>
        </w:tc>
        <w:tc>
          <w:tcPr>
            <w:tcW w:w="1478" w:type="dxa"/>
          </w:tcPr>
          <w:p w14:paraId="099AB6FB" w14:textId="77777777" w:rsidR="00C71A0C" w:rsidRPr="00715676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>10</w:t>
            </w:r>
          </w:p>
        </w:tc>
        <w:tc>
          <w:tcPr>
            <w:tcW w:w="2266" w:type="dxa"/>
          </w:tcPr>
          <w:p w14:paraId="5AE37DFA" w14:textId="77777777" w:rsidR="00C71A0C" w:rsidRPr="00715676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0CAF690C" w14:textId="77777777" w:rsidR="00C71A0C" w:rsidRPr="00715676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7EB182C2" w14:textId="77777777" w:rsidR="00C71A0C" w:rsidRDefault="00C71A0C" w:rsidP="00C71A0C">
      <w:pPr>
        <w:tabs>
          <w:tab w:val="left" w:pos="2549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50A40417" w14:textId="77777777" w:rsidR="00C71A0C" w:rsidRPr="00C71A0C" w:rsidRDefault="00C71A0C" w:rsidP="00C71A0C">
      <w:pPr>
        <w:jc w:val="center"/>
        <w:rPr>
          <w:lang w:val="lv-LV"/>
        </w:rPr>
      </w:pPr>
    </w:p>
    <w:sectPr w:rsidR="00C71A0C" w:rsidRPr="00C71A0C" w:rsidSect="00C71A0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67D4F" w14:textId="77777777" w:rsidR="00C71A0C" w:rsidRDefault="00C71A0C" w:rsidP="00C71A0C">
      <w:pPr>
        <w:spacing w:after="0" w:line="240" w:lineRule="auto"/>
      </w:pPr>
      <w:r>
        <w:separator/>
      </w:r>
    </w:p>
  </w:endnote>
  <w:endnote w:type="continuationSeparator" w:id="0">
    <w:p w14:paraId="36AA72ED" w14:textId="77777777" w:rsidR="00C71A0C" w:rsidRDefault="00C71A0C" w:rsidP="00C7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7EBD0" w14:textId="77777777" w:rsidR="00C71A0C" w:rsidRDefault="00C71A0C" w:rsidP="00C71A0C">
      <w:pPr>
        <w:spacing w:after="0" w:line="240" w:lineRule="auto"/>
      </w:pPr>
      <w:r>
        <w:separator/>
      </w:r>
    </w:p>
  </w:footnote>
  <w:footnote w:type="continuationSeparator" w:id="0">
    <w:p w14:paraId="071EABF5" w14:textId="77777777" w:rsidR="00C71A0C" w:rsidRDefault="00C71A0C" w:rsidP="00C71A0C">
      <w:pPr>
        <w:spacing w:after="0" w:line="240" w:lineRule="auto"/>
      </w:pPr>
      <w:r>
        <w:continuationSeparator/>
      </w:r>
    </w:p>
  </w:footnote>
  <w:footnote w:id="1">
    <w:p w14:paraId="7AF2448C" w14:textId="77777777" w:rsidR="00C71A0C" w:rsidRPr="00A63FFF" w:rsidRDefault="00C71A0C" w:rsidP="00C71A0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63FF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63FFF">
        <w:rPr>
          <w:rFonts w:ascii="Times New Roman" w:hAnsi="Times New Roman" w:cs="Times New Roman"/>
          <w:sz w:val="18"/>
          <w:szCs w:val="18"/>
        </w:rPr>
        <w:t xml:space="preserve"> Sociāli mazaizsargātās iedzīvotāju grupas:  ģimenes, kuras audzina trīs un vairāk bērnus; nepilnās ģimenes; personas ar invaliditāti; personas virs darbaspējas vecuma; 15–25 gadus veci jaunieši; personas, kuras atbrīvotas no brīvības atņemšanas iestādēm; ilgstošie bezdarbnieki; bezpajumtnieki; cilvēktirdzniecības upuri; politiski represētās personas; personas, kurām stihisku nelaimju vai dabas katastrofu dēļ ir nodarīts kaitējums, vai viņu ģimenes; Černobiļas atomelektrostacijas avārijas seku likvidēšanas dalībnieki un viņu ģimenes, Černobiļas atomelektrostacijas avārijas dēļ cietušās personas un viņu ģimenes; personas ar alkohola, narkotisko, psihotropo, toksisko vielu, azartspēļu vai datorspēļu atkarības problēmām un viņu ģimenes ģimenes, kuras audzina bērnu ar invaliditāti; bērni; no vardarbības cietušās personas (atbilstoši 2005.gada 11.janvāra </w:t>
      </w:r>
      <w:r>
        <w:fldChar w:fldCharType="begin"/>
      </w:r>
      <w:r>
        <w:instrText>HYPERLINK "https://likumi.lv/ta/id/99488-noteikumi-par-sociali-mazaizsargato-personu-grupam"</w:instrText>
      </w:r>
      <w:r>
        <w:fldChar w:fldCharType="separate"/>
      </w:r>
      <w:r w:rsidRPr="00A63FFF">
        <w:rPr>
          <w:rStyle w:val="Hyperlink"/>
          <w:rFonts w:ascii="Times New Roman" w:hAnsi="Times New Roman" w:cs="Times New Roman"/>
          <w:color w:val="auto"/>
          <w:sz w:val="18"/>
          <w:szCs w:val="18"/>
        </w:rPr>
        <w:t>Ministru kabineta noteikumiem Nr.32</w:t>
      </w:r>
      <w:r>
        <w:fldChar w:fldCharType="end"/>
      </w:r>
      <w:r w:rsidRPr="00A63FFF">
        <w:rPr>
          <w:rFonts w:ascii="Times New Roman" w:hAnsi="Times New Roman" w:cs="Times New Roman"/>
          <w:sz w:val="18"/>
          <w:szCs w:val="18"/>
        </w:rPr>
        <w:t xml:space="preserve"> “Noteikumi par sociāli mazaizsargāto personu grupām</w:t>
      </w:r>
    </w:p>
    <w:p w14:paraId="3B3C9F07" w14:textId="77777777" w:rsidR="00C71A0C" w:rsidRPr="00A63FFF" w:rsidRDefault="00C71A0C" w:rsidP="00C71A0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2">
    <w:p w14:paraId="1FADA63D" w14:textId="77777777" w:rsidR="00C71A0C" w:rsidRPr="002F10DB" w:rsidRDefault="00C71A0C" w:rsidP="00C71A0C">
      <w:pPr>
        <w:jc w:val="both"/>
        <w:rPr>
          <w:rFonts w:eastAsia="Times New Roman" w:cs="Times New Roman"/>
          <w:sz w:val="16"/>
          <w:szCs w:val="16"/>
        </w:rPr>
      </w:pPr>
      <w:r>
        <w:rPr>
          <w:rFonts w:cs="Times New Roman"/>
          <w:sz w:val="18"/>
          <w:szCs w:val="18"/>
          <w:shd w:val="clear" w:color="auto" w:fill="FFFFFF"/>
        </w:rPr>
        <w:t xml:space="preserve">13.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Noteikumi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par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sociālās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atstumtības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riskam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pakļauto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iedzīvotāju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grupām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un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sociālā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uzņēmuma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statusa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piešķiršanas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reģistrēšanas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un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uzraudzības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kārtību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 xml:space="preserve">. II </w:t>
      </w:r>
      <w:proofErr w:type="spellStart"/>
      <w:r w:rsidRPr="00A63FFF">
        <w:rPr>
          <w:rFonts w:cs="Times New Roman"/>
          <w:sz w:val="18"/>
          <w:szCs w:val="18"/>
          <w:shd w:val="clear" w:color="auto" w:fill="FFFFFF"/>
        </w:rPr>
        <w:t>sadaļa</w:t>
      </w:r>
      <w:proofErr w:type="spellEnd"/>
      <w:r w:rsidRPr="00A63FFF">
        <w:rPr>
          <w:rFonts w:cs="Times New Roman"/>
          <w:sz w:val="18"/>
          <w:szCs w:val="18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4DF8"/>
    <w:multiLevelType w:val="hybridMultilevel"/>
    <w:tmpl w:val="CFDE2F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83D"/>
    <w:multiLevelType w:val="hybridMultilevel"/>
    <w:tmpl w:val="EAC8AC32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3901">
    <w:abstractNumId w:val="1"/>
  </w:num>
  <w:num w:numId="2" w16cid:durableId="142757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C"/>
    <w:rsid w:val="00075CBC"/>
    <w:rsid w:val="001D5A7C"/>
    <w:rsid w:val="004A7BE1"/>
    <w:rsid w:val="00A2091E"/>
    <w:rsid w:val="00C71A0C"/>
    <w:rsid w:val="00D66741"/>
    <w:rsid w:val="00E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384D"/>
  <w15:chartTrackingRefBased/>
  <w15:docId w15:val="{005AD9D7-A004-4077-8A5E-C98F6790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A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1A0C"/>
    <w:rPr>
      <w:color w:val="467886" w:themeColor="hyperlink"/>
      <w:u w:val="single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71A0C"/>
    <w:pPr>
      <w:spacing w:after="0" w:line="240" w:lineRule="auto"/>
    </w:pPr>
    <w:rPr>
      <w:kern w:val="0"/>
      <w:sz w:val="20"/>
      <w:szCs w:val="20"/>
      <w:lang w:val="lv-LV"/>
      <w14:ligatures w14:val="none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71A0C"/>
    <w:rPr>
      <w:kern w:val="0"/>
      <w:sz w:val="20"/>
      <w:szCs w:val="20"/>
      <w:lang w:val="lv-LV"/>
      <w14:ligatures w14:val="none"/>
    </w:rPr>
  </w:style>
  <w:style w:type="character" w:styleId="FootnoteReference">
    <w:name w:val="footnote reference"/>
    <w:aliases w:val="Footnote Reference Number"/>
    <w:uiPriority w:val="99"/>
    <w:rsid w:val="00C71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Sandija Kaulina</dc:creator>
  <cp:keywords/>
  <dc:description/>
  <cp:lastModifiedBy>Sandija Kaulina</cp:lastModifiedBy>
  <cp:revision>1</cp:revision>
  <dcterms:created xsi:type="dcterms:W3CDTF">2025-08-11T07:01:00Z</dcterms:created>
  <dcterms:modified xsi:type="dcterms:W3CDTF">2025-08-11T07:13:00Z</dcterms:modified>
</cp:coreProperties>
</file>